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聚焦《税收征管法》修订  提升征管风险防范能力培训班</w:t>
      </w:r>
    </w:p>
    <w:bookmarkEnd w:id="1"/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 w:cs="仿宋"/>
          <w:sz w:val="32"/>
          <w:szCs w:val="32"/>
        </w:rPr>
        <w:t>计划书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随着税收征管改革推进，《税收征管法》修订势在必行。修订的《税收征管法》将深刻影响各项税收工作。本项目将指导税务干部在新形势下开展税收征管工作。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从事税收征管工作的税务干部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通过培训，使学员掌握《税收征管法》修订的主要内容，正确运用《征管操作规程》</w:t>
      </w:r>
      <w:r>
        <w:rPr>
          <w:rFonts w:ascii="仿宋" w:hAnsi="仿宋" w:eastAsia="仿宋" w:cs="仿宋"/>
          <w:sz w:val="28"/>
          <w:szCs w:val="28"/>
        </w:rPr>
        <w:t>3.0</w:t>
      </w:r>
      <w:r>
        <w:rPr>
          <w:rFonts w:hint="eastAsia" w:ascii="仿宋" w:hAnsi="仿宋" w:eastAsia="仿宋" w:cs="仿宋"/>
          <w:sz w:val="28"/>
          <w:szCs w:val="28"/>
        </w:rPr>
        <w:t>处理欠税、做好税款征收与处罚等重点工作，熟悉数电票相关业务，提升税收征管工作效能。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</w:t>
      </w:r>
      <w:r>
        <w:rPr>
          <w:rFonts w:ascii="仿宋" w:hAnsi="仿宋" w:eastAsia="仿宋" w:cs="仿宋"/>
          <w:sz w:val="28"/>
          <w:szCs w:val="28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天，其中课程环节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天，非课程环节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790"/>
        <w:gridCol w:w="1221"/>
        <w:gridCol w:w="1275"/>
        <w:gridCol w:w="1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790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21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75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19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790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</w:p>
        </w:tc>
        <w:tc>
          <w:tcPr>
            <w:tcW w:w="1221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194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主题党日活动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19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（4天）</w:t>
            </w:r>
          </w:p>
        </w:tc>
        <w:tc>
          <w:tcPr>
            <w:tcW w:w="379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《税收</w:t>
            </w:r>
            <w:r>
              <w:rPr>
                <w:rFonts w:hint="eastAsia" w:ascii="仿宋" w:hAnsi="仿宋" w:eastAsia="仿宋" w:cs="仿宋"/>
                <w:sz w:val="24"/>
              </w:rPr>
              <w:t>征管法》修订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税收征管质量</w:t>
            </w:r>
            <w:r>
              <w:rPr>
                <w:rFonts w:ascii="仿宋" w:hAnsi="仿宋" w:eastAsia="仿宋"/>
                <w:sz w:val="24"/>
              </w:rPr>
              <w:t>5C+5R</w:t>
            </w:r>
            <w:r>
              <w:rPr>
                <w:rFonts w:hint="eastAsia" w:ascii="仿宋" w:hAnsi="仿宋" w:eastAsia="仿宋"/>
                <w:sz w:val="24"/>
              </w:rPr>
              <w:t>监控评价及税费收入质量监控评价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外聘教师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《征管操作规程》</w:t>
            </w:r>
            <w:r>
              <w:rPr>
                <w:rFonts w:ascii="仿宋" w:hAnsi="仿宋" w:eastAsia="仿宋" w:cs="仿宋"/>
                <w:sz w:val="24"/>
              </w:rPr>
              <w:t>3.0——</w:t>
            </w:r>
            <w:r>
              <w:rPr>
                <w:rFonts w:hint="eastAsia" w:ascii="仿宋" w:hAnsi="仿宋" w:eastAsia="仿宋" w:cs="仿宋"/>
                <w:sz w:val="24"/>
              </w:rPr>
              <w:t>欠税管理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《征管操作规程》</w:t>
            </w:r>
            <w:r>
              <w:rPr>
                <w:rFonts w:ascii="仿宋" w:hAnsi="仿宋" w:eastAsia="仿宋" w:cs="仿宋"/>
                <w:sz w:val="24"/>
              </w:rPr>
              <w:t>3.0——</w:t>
            </w:r>
            <w:bookmarkStart w:id="0" w:name="_Hlk179834002"/>
            <w:r>
              <w:rPr>
                <w:rFonts w:hint="eastAsia" w:ascii="仿宋" w:hAnsi="仿宋" w:eastAsia="仿宋" w:cs="仿宋"/>
                <w:sz w:val="24"/>
              </w:rPr>
              <w:t>税款征收与处罚</w:t>
            </w:r>
            <w:bookmarkEnd w:id="0"/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数电票“一体式”风险防控体系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金税四期建设与数字化电子发票应用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79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研讨交流：税源监控中存在的难题及解决路径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0.5</w:t>
            </w:r>
          </w:p>
        </w:tc>
        <w:tc>
          <w:tcPr>
            <w:tcW w:w="127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19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79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报到、返程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194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66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369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3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2025-01-06T07:31:09Z</dcterms:created>
  <dc:creator>Administrator</dc:creator>
  <cp:lastModifiedBy>Administrator</cp:lastModifiedBy>
  <dcterms:modified xsi:type="dcterms:W3CDTF">2025-01-06T07:31:20Z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